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713A7C">
      <w:pPr>
        <w:rPr>
          <w:rFonts w:hint="eastAsia" w:ascii="仿宋_GB2312" w:eastAsia="仿宋_GB2312"/>
          <w:sz w:val="30"/>
          <w:szCs w:val="30"/>
          <w:lang w:val="en-US" w:eastAsia="zh-CN"/>
        </w:rPr>
      </w:pPr>
      <w:r>
        <w:rPr>
          <w:rFonts w:hint="eastAsia" w:ascii="仿宋_GB2312" w:eastAsia="仿宋_GB2312"/>
          <w:sz w:val="30"/>
          <w:szCs w:val="30"/>
          <w:lang w:val="en-US" w:eastAsia="zh-CN"/>
        </w:rPr>
        <w:t>附评分标准：</w:t>
      </w:r>
    </w:p>
    <w:tbl>
      <w:tblPr>
        <w:tblStyle w:val="2"/>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7"/>
        <w:gridCol w:w="1940"/>
        <w:gridCol w:w="5580"/>
      </w:tblGrid>
      <w:tr w14:paraId="59690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4" w:type="pct"/>
            <w:noWrap w:val="0"/>
            <w:vAlign w:val="center"/>
          </w:tcPr>
          <w:p w14:paraId="0C3844CD">
            <w:pPr>
              <w:snapToGrid w:val="0"/>
              <w:jc w:val="both"/>
              <w:rPr>
                <w:rFonts w:ascii="Times New Roman" w:hAnsi="Times New Roman"/>
                <w:b/>
              </w:rPr>
            </w:pPr>
            <w:r>
              <w:rPr>
                <w:rFonts w:ascii="Times New Roman" w:hAnsi="Times New Roman"/>
                <w:b/>
              </w:rPr>
              <w:t>条款号</w:t>
            </w:r>
          </w:p>
        </w:tc>
        <w:tc>
          <w:tcPr>
            <w:tcW w:w="1072" w:type="pct"/>
            <w:noWrap w:val="0"/>
            <w:vAlign w:val="center"/>
          </w:tcPr>
          <w:p w14:paraId="1DEE6A98">
            <w:pPr>
              <w:snapToGrid w:val="0"/>
              <w:jc w:val="center"/>
              <w:rPr>
                <w:rFonts w:ascii="Times New Roman" w:hAnsi="Times New Roman"/>
                <w:b/>
              </w:rPr>
            </w:pPr>
            <w:r>
              <w:rPr>
                <w:rFonts w:ascii="Times New Roman" w:hAnsi="Times New Roman"/>
                <w:b/>
              </w:rPr>
              <w:t>评分因素</w:t>
            </w:r>
          </w:p>
        </w:tc>
        <w:tc>
          <w:tcPr>
            <w:tcW w:w="3083" w:type="pct"/>
            <w:noWrap w:val="0"/>
            <w:vAlign w:val="center"/>
          </w:tcPr>
          <w:p w14:paraId="1382E50A">
            <w:pPr>
              <w:snapToGrid w:val="0"/>
              <w:jc w:val="center"/>
              <w:rPr>
                <w:rFonts w:ascii="Times New Roman" w:hAnsi="Times New Roman"/>
                <w:b/>
              </w:rPr>
            </w:pPr>
            <w:r>
              <w:rPr>
                <w:rFonts w:ascii="Times New Roman" w:hAnsi="Times New Roman"/>
                <w:b/>
              </w:rPr>
              <w:t>评分标准</w:t>
            </w:r>
          </w:p>
        </w:tc>
      </w:tr>
      <w:tr w14:paraId="024BB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844" w:type="pct"/>
            <w:vMerge w:val="restart"/>
            <w:noWrap w:val="0"/>
            <w:vAlign w:val="center"/>
          </w:tcPr>
          <w:p w14:paraId="30D3B208">
            <w:pPr>
              <w:snapToGrid w:val="0"/>
              <w:jc w:val="center"/>
              <w:rPr>
                <w:rFonts w:ascii="Times New Roman" w:hAnsi="Times New Roman"/>
              </w:rPr>
            </w:pPr>
            <w:r>
              <w:rPr>
                <w:rFonts w:hint="eastAsia"/>
                <w:lang w:val="en-US" w:eastAsia="zh-CN"/>
              </w:rPr>
              <w:t>商务</w:t>
            </w:r>
            <w:r>
              <w:rPr>
                <w:rFonts w:hint="eastAsia" w:ascii="Times New Roman" w:hAnsi="Times New Roman"/>
              </w:rPr>
              <w:t>比选</w:t>
            </w:r>
            <w:r>
              <w:rPr>
                <w:rFonts w:ascii="Times New Roman" w:hAnsi="Times New Roman"/>
              </w:rPr>
              <w:t>分标准</w:t>
            </w:r>
            <w:r>
              <w:rPr>
                <w:rFonts w:hint="eastAsia" w:ascii="Times New Roman" w:hAnsi="Times New Roman"/>
              </w:rPr>
              <w:t>（</w:t>
            </w:r>
            <w:r>
              <w:rPr>
                <w:rFonts w:hint="eastAsia"/>
                <w:lang w:val="en-US" w:eastAsia="zh-CN"/>
              </w:rPr>
              <w:t>80</w:t>
            </w:r>
            <w:r>
              <w:rPr>
                <w:rFonts w:hint="eastAsia" w:ascii="Times New Roman" w:hAnsi="Times New Roman"/>
              </w:rPr>
              <w:t>分）</w:t>
            </w:r>
          </w:p>
        </w:tc>
        <w:tc>
          <w:tcPr>
            <w:tcW w:w="1072" w:type="pct"/>
            <w:noWrap w:val="0"/>
            <w:vAlign w:val="center"/>
          </w:tcPr>
          <w:p w14:paraId="1ECA2F05">
            <w:pPr>
              <w:widowControl/>
              <w:snapToGrid w:val="0"/>
              <w:jc w:val="center"/>
              <w:rPr>
                <w:rFonts w:hint="default" w:ascii="Times New Roman" w:hAnsi="Times New Roman" w:eastAsia="宋体"/>
                <w:lang w:val="en-US" w:eastAsia="zh-CN"/>
              </w:rPr>
            </w:pPr>
            <w:r>
              <w:rPr>
                <w:rFonts w:hint="eastAsia"/>
                <w:lang w:val="en-US" w:eastAsia="zh-CN"/>
              </w:rPr>
              <w:t>投标人</w:t>
            </w:r>
            <w:r>
              <w:rPr>
                <w:rFonts w:hint="eastAsia"/>
                <w:highlight w:val="none"/>
                <w:lang w:val="en-US" w:eastAsia="zh-CN"/>
              </w:rPr>
              <w:t>评级资质完备性</w:t>
            </w:r>
            <w:r>
              <w:rPr>
                <w:rFonts w:hint="eastAsia"/>
                <w:lang w:val="en-US" w:eastAsia="zh-CN"/>
              </w:rPr>
              <w:t>（10分）</w:t>
            </w:r>
          </w:p>
        </w:tc>
        <w:tc>
          <w:tcPr>
            <w:tcW w:w="3083" w:type="pct"/>
            <w:noWrap w:val="0"/>
            <w:vAlign w:val="center"/>
          </w:tcPr>
          <w:p w14:paraId="71A4EA94">
            <w:pPr>
              <w:snapToGrid w:val="0"/>
              <w:jc w:val="left"/>
              <w:rPr>
                <w:rFonts w:hint="default" w:ascii="Times New Roman" w:hAnsi="Times New Roman" w:eastAsia="宋体"/>
                <w:lang w:val="en-US" w:eastAsia="zh-CN"/>
              </w:rPr>
            </w:pPr>
            <w:r>
              <w:rPr>
                <w:rFonts w:hint="eastAsia"/>
                <w:lang w:val="en-US" w:eastAsia="zh-CN"/>
              </w:rPr>
              <w:t>根据投标人持有的相关评级资质完备性进行评分，同时具备银行间市场和交易所市场评级资质的得10，仅持有单个市场评级资质的得5分，不持有任何资质的得0分。</w:t>
            </w:r>
          </w:p>
        </w:tc>
      </w:tr>
      <w:tr w14:paraId="278BE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844" w:type="pct"/>
            <w:vMerge w:val="continue"/>
            <w:noWrap w:val="0"/>
            <w:vAlign w:val="center"/>
          </w:tcPr>
          <w:p w14:paraId="14CD8553">
            <w:pPr>
              <w:snapToGrid w:val="0"/>
              <w:jc w:val="left"/>
            </w:pPr>
          </w:p>
        </w:tc>
        <w:tc>
          <w:tcPr>
            <w:tcW w:w="1072" w:type="pct"/>
            <w:noWrap w:val="0"/>
            <w:vAlign w:val="center"/>
          </w:tcPr>
          <w:p w14:paraId="218F46A6">
            <w:pPr>
              <w:widowControl/>
              <w:snapToGrid w:val="0"/>
              <w:jc w:val="center"/>
              <w:rPr>
                <w:rFonts w:hint="eastAsia" w:ascii="Times New Roman" w:hAnsi="Times New Roman" w:eastAsia="宋体"/>
                <w:lang w:val="en-US" w:eastAsia="zh-CN"/>
              </w:rPr>
            </w:pPr>
            <w:r>
              <w:rPr>
                <w:rFonts w:hint="eastAsia"/>
                <w:lang w:eastAsia="zh-CN"/>
              </w:rPr>
              <w:t>投标人</w:t>
            </w:r>
            <w:r>
              <w:rPr>
                <w:rFonts w:hint="eastAsia" w:ascii="Times New Roman" w:hAnsi="Times New Roman"/>
                <w:highlight w:val="none"/>
              </w:rPr>
              <w:t>业绩</w:t>
            </w:r>
            <w:r>
              <w:rPr>
                <w:rFonts w:hint="eastAsia"/>
                <w:lang w:val="en-US" w:eastAsia="zh-CN"/>
              </w:rPr>
              <w:t>情况</w:t>
            </w:r>
          </w:p>
          <w:p w14:paraId="44F90ABC">
            <w:pPr>
              <w:widowControl/>
              <w:snapToGrid w:val="0"/>
              <w:jc w:val="center"/>
              <w:rPr>
                <w:rFonts w:ascii="Times New Roman" w:hAnsi="Times New Roman" w:eastAsia="宋体" w:cs="Times New Roman"/>
                <w:kern w:val="2"/>
                <w:sz w:val="21"/>
                <w:szCs w:val="24"/>
                <w:lang w:val="en-US" w:eastAsia="zh-CN" w:bidi="ar-SA"/>
              </w:rPr>
            </w:pPr>
            <w:r>
              <w:rPr>
                <w:rFonts w:hint="eastAsia" w:ascii="Times New Roman" w:hAnsi="Times New Roman"/>
              </w:rPr>
              <w:t>（</w:t>
            </w:r>
            <w:r>
              <w:rPr>
                <w:rFonts w:hint="eastAsia"/>
                <w:lang w:val="en-US" w:eastAsia="zh-CN"/>
              </w:rPr>
              <w:t>25</w:t>
            </w:r>
            <w:r>
              <w:rPr>
                <w:rFonts w:hint="eastAsia" w:ascii="Times New Roman" w:hAnsi="Times New Roman"/>
              </w:rPr>
              <w:t>分）</w:t>
            </w:r>
          </w:p>
        </w:tc>
        <w:tc>
          <w:tcPr>
            <w:tcW w:w="3083" w:type="pct"/>
            <w:noWrap w:val="0"/>
            <w:vAlign w:val="center"/>
          </w:tcPr>
          <w:p w14:paraId="499BA9CB">
            <w:pPr>
              <w:snapToGrid w:val="0"/>
              <w:jc w:val="left"/>
              <w:rPr>
                <w:rFonts w:hint="eastAsia" w:ascii="Times New Roman" w:hAnsi="Times New Roman" w:eastAsia="宋体" w:cs="Times New Roman"/>
                <w:kern w:val="2"/>
                <w:sz w:val="21"/>
                <w:szCs w:val="24"/>
                <w:lang w:val="en-US" w:eastAsia="zh-CN" w:bidi="ar-SA"/>
              </w:rPr>
            </w:pPr>
            <w:r>
              <w:rPr>
                <w:rFonts w:hint="eastAsia"/>
                <w:lang w:eastAsia="zh-CN"/>
              </w:rPr>
              <w:t>投标人</w:t>
            </w:r>
            <w:r>
              <w:rPr>
                <w:rFonts w:hint="eastAsia"/>
                <w:lang w:val="en-US" w:eastAsia="zh-CN"/>
              </w:rPr>
              <w:t>2023年</w:t>
            </w:r>
            <w:r>
              <w:rPr>
                <w:rFonts w:hint="eastAsia" w:ascii="Times New Roman" w:hAnsi="Times New Roman"/>
              </w:rPr>
              <w:t>在全国范围内</w:t>
            </w:r>
            <w:r>
              <w:rPr>
                <w:rFonts w:hint="eastAsia"/>
              </w:rPr>
              <w:t>承做的债券评级</w:t>
            </w:r>
            <w:r>
              <w:rPr>
                <w:rFonts w:hint="eastAsia" w:ascii="Times New Roman" w:hAnsi="Times New Roman"/>
              </w:rPr>
              <w:t>数量统计，</w:t>
            </w:r>
            <w:r>
              <w:rPr>
                <w:rFonts w:hint="eastAsia"/>
                <w:lang w:val="en-US" w:eastAsia="zh-CN"/>
              </w:rPr>
              <w:t>以中国银行间市场交易商协会和中国证券业协会每季度发布的2023年第一、二、三、四季度债券市场信用评级机构业务运行及合规情况通报汇总数据为准</w:t>
            </w:r>
            <w:r>
              <w:rPr>
                <w:rFonts w:hint="eastAsia" w:ascii="Times New Roman" w:hAnsi="Times New Roman"/>
              </w:rPr>
              <w:t>。</w:t>
            </w:r>
            <w:r>
              <w:rPr>
                <w:rFonts w:hint="eastAsia"/>
                <w:lang w:val="en-US" w:eastAsia="zh-CN"/>
              </w:rPr>
              <w:t>根据投标人的排名情况进行评分，第一名得25分，第二名20分，第三名得15分，以此类推。</w:t>
            </w:r>
          </w:p>
        </w:tc>
      </w:tr>
      <w:tr w14:paraId="3A7D1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jc w:val="center"/>
        </w:trPr>
        <w:tc>
          <w:tcPr>
            <w:tcW w:w="844" w:type="pct"/>
            <w:vMerge w:val="continue"/>
            <w:noWrap w:val="0"/>
            <w:vAlign w:val="top"/>
          </w:tcPr>
          <w:p w14:paraId="08F40DFD">
            <w:pPr>
              <w:snapToGrid w:val="0"/>
              <w:rPr>
                <w:rFonts w:ascii="Times New Roman" w:hAnsi="Times New Roman"/>
              </w:rPr>
            </w:pPr>
          </w:p>
        </w:tc>
        <w:tc>
          <w:tcPr>
            <w:tcW w:w="1072" w:type="pct"/>
            <w:noWrap w:val="0"/>
            <w:vAlign w:val="center"/>
          </w:tcPr>
          <w:p w14:paraId="093380B6">
            <w:pPr>
              <w:widowControl/>
              <w:snapToGrid w:val="0"/>
              <w:jc w:val="center"/>
              <w:rPr>
                <w:rFonts w:ascii="Times New Roman" w:hAnsi="Times New Roman"/>
              </w:rPr>
            </w:pPr>
            <w:r>
              <w:rPr>
                <w:rFonts w:hint="eastAsia"/>
                <w:lang w:val="en-US" w:eastAsia="zh-CN"/>
              </w:rPr>
              <w:t>投标人在</w:t>
            </w:r>
            <w:r>
              <w:rPr>
                <w:rFonts w:hint="eastAsia"/>
                <w:highlight w:val="none"/>
                <w:lang w:val="en-US" w:eastAsia="zh-CN"/>
              </w:rPr>
              <w:t>主管部门的权威评价</w:t>
            </w:r>
            <w:r>
              <w:rPr>
                <w:rFonts w:hint="eastAsia"/>
                <w:lang w:val="en-US" w:eastAsia="zh-CN"/>
              </w:rPr>
              <w:t>情况（25分）</w:t>
            </w:r>
          </w:p>
        </w:tc>
        <w:tc>
          <w:tcPr>
            <w:tcW w:w="3083" w:type="pct"/>
            <w:noWrap w:val="0"/>
            <w:vAlign w:val="center"/>
          </w:tcPr>
          <w:p w14:paraId="439FF174">
            <w:pPr>
              <w:snapToGrid w:val="0"/>
              <w:jc w:val="left"/>
              <w:rPr>
                <w:rFonts w:ascii="Times New Roman" w:hAnsi="Times New Roman"/>
              </w:rPr>
            </w:pPr>
            <w:r>
              <w:rPr>
                <w:rFonts w:hint="eastAsia"/>
                <w:lang w:val="en-US" w:eastAsia="zh-CN"/>
              </w:rPr>
              <w:t>根据</w:t>
            </w:r>
            <w:r>
              <w:rPr>
                <w:rFonts w:hint="eastAsia" w:ascii="Times New Roman" w:hAnsi="Times New Roman"/>
              </w:rPr>
              <w:t>中国银行间市场交易商协会、中央国债登记结算有限责任公司、中国证券业协会</w:t>
            </w:r>
            <w:r>
              <w:rPr>
                <w:rFonts w:hint="eastAsia"/>
                <w:lang w:val="en-US" w:eastAsia="zh-CN"/>
              </w:rPr>
              <w:t>2023年10月联合发布的2022年度企业债券主承销商和信用评级机构信用评价结果排名进行评分，评级机构排名第一的得25分，第二名的得20分，第三名得15分，以此类推。</w:t>
            </w:r>
          </w:p>
        </w:tc>
      </w:tr>
      <w:tr w14:paraId="65C20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jc w:val="center"/>
        </w:trPr>
        <w:tc>
          <w:tcPr>
            <w:tcW w:w="844" w:type="pct"/>
            <w:vMerge w:val="continue"/>
            <w:noWrap w:val="0"/>
            <w:vAlign w:val="top"/>
          </w:tcPr>
          <w:p w14:paraId="208B743B">
            <w:pPr>
              <w:snapToGrid w:val="0"/>
              <w:jc w:val="left"/>
            </w:pPr>
          </w:p>
        </w:tc>
        <w:tc>
          <w:tcPr>
            <w:tcW w:w="1072" w:type="pct"/>
            <w:noWrap w:val="0"/>
            <w:vAlign w:val="center"/>
          </w:tcPr>
          <w:p w14:paraId="71431513">
            <w:pPr>
              <w:snapToGrid w:val="0"/>
              <w:jc w:val="left"/>
              <w:rPr>
                <w:rFonts w:hint="default" w:eastAsia="宋体"/>
                <w:lang w:val="en-US" w:eastAsia="zh-CN"/>
              </w:rPr>
            </w:pPr>
            <w:r>
              <w:rPr>
                <w:rFonts w:hint="eastAsia" w:ascii="Times New Roman" w:hAnsi="Times New Roman"/>
              </w:rPr>
              <w:t>信用评级工作</w:t>
            </w:r>
            <w:r>
              <w:rPr>
                <w:rFonts w:hint="eastAsia"/>
                <w:highlight w:val="none"/>
                <w:lang w:val="en-US" w:eastAsia="zh-CN"/>
              </w:rPr>
              <w:t>服务</w:t>
            </w:r>
            <w:r>
              <w:rPr>
                <w:rFonts w:hint="eastAsia" w:ascii="Times New Roman" w:hAnsi="Times New Roman"/>
                <w:highlight w:val="none"/>
              </w:rPr>
              <w:t>方案</w:t>
            </w:r>
            <w:r>
              <w:rPr>
                <w:rFonts w:hint="eastAsia" w:ascii="Times New Roman" w:hAnsi="Times New Roman"/>
              </w:rPr>
              <w:t>（</w:t>
            </w:r>
            <w:r>
              <w:rPr>
                <w:rFonts w:hint="eastAsia" w:ascii="Times New Roman" w:hAnsi="Times New Roman"/>
                <w:lang w:val="en-US" w:eastAsia="zh-CN"/>
              </w:rPr>
              <w:t>15</w:t>
            </w:r>
            <w:r>
              <w:rPr>
                <w:rFonts w:hint="eastAsia" w:ascii="Times New Roman" w:hAnsi="Times New Roman"/>
              </w:rPr>
              <w:t>分）</w:t>
            </w:r>
          </w:p>
        </w:tc>
        <w:tc>
          <w:tcPr>
            <w:tcW w:w="3083" w:type="pct"/>
            <w:noWrap w:val="0"/>
            <w:vAlign w:val="center"/>
          </w:tcPr>
          <w:p w14:paraId="4345E00E">
            <w:pPr>
              <w:snapToGrid w:val="0"/>
              <w:jc w:val="left"/>
              <w:rPr>
                <w:rFonts w:ascii="Times New Roman" w:hAnsi="Times New Roman"/>
              </w:rPr>
            </w:pPr>
            <w:r>
              <w:rPr>
                <w:rFonts w:hint="eastAsia" w:ascii="Times New Roman" w:hAnsi="Times New Roman"/>
              </w:rPr>
              <w:t>根据</w:t>
            </w:r>
            <w:r>
              <w:rPr>
                <w:rFonts w:hint="eastAsia"/>
                <w:lang w:eastAsia="zh-CN"/>
              </w:rPr>
              <w:t>投标人</w:t>
            </w:r>
            <w:r>
              <w:rPr>
                <w:rFonts w:hint="eastAsia" w:ascii="Times New Roman" w:hAnsi="Times New Roman"/>
              </w:rPr>
              <w:t>提供的评级方案进行</w:t>
            </w:r>
            <w:r>
              <w:rPr>
                <w:rFonts w:hint="eastAsia"/>
                <w:lang w:val="en-US" w:eastAsia="zh-CN"/>
              </w:rPr>
              <w:t>综合</w:t>
            </w:r>
            <w:r>
              <w:rPr>
                <w:rFonts w:hint="eastAsia" w:ascii="Times New Roman" w:hAnsi="Times New Roman"/>
              </w:rPr>
              <w:t>评审，从评级方案合理性、规范性和评级方法科学性方面进行综合评审。</w:t>
            </w:r>
          </w:p>
          <w:p w14:paraId="73490310">
            <w:pPr>
              <w:snapToGrid w:val="0"/>
              <w:jc w:val="left"/>
              <w:rPr>
                <w:rFonts w:ascii="Times New Roman" w:hAnsi="Times New Roman"/>
              </w:rPr>
            </w:pPr>
            <w:r>
              <w:rPr>
                <w:rFonts w:hint="eastAsia" w:ascii="Times New Roman" w:hAnsi="Times New Roman"/>
              </w:rPr>
              <w:t>评级方案思路较清晰、评级方法较科学</w:t>
            </w:r>
            <w:r>
              <w:rPr>
                <w:rFonts w:hint="eastAsia"/>
                <w:lang w:eastAsia="zh-CN"/>
              </w:rPr>
              <w:t>、</w:t>
            </w:r>
            <w:r>
              <w:rPr>
                <w:rFonts w:hint="eastAsia" w:ascii="Times New Roman" w:hAnsi="Times New Roman"/>
              </w:rPr>
              <w:t>评级流程、时间安排较合理，得</w:t>
            </w:r>
            <w:r>
              <w:rPr>
                <w:rFonts w:hint="eastAsia"/>
                <w:lang w:val="en-US" w:eastAsia="zh-CN"/>
              </w:rPr>
              <w:t>10-15</w:t>
            </w:r>
            <w:r>
              <w:rPr>
                <w:rFonts w:hint="eastAsia" w:ascii="Times New Roman" w:hAnsi="Times New Roman"/>
              </w:rPr>
              <w:t>分；</w:t>
            </w:r>
          </w:p>
          <w:p w14:paraId="56DEE7AA">
            <w:pPr>
              <w:snapToGrid w:val="0"/>
              <w:jc w:val="left"/>
              <w:rPr>
                <w:rFonts w:ascii="Times New Roman" w:hAnsi="Times New Roman"/>
              </w:rPr>
            </w:pPr>
            <w:r>
              <w:rPr>
                <w:rFonts w:hint="eastAsia" w:ascii="Times New Roman" w:hAnsi="Times New Roman"/>
              </w:rPr>
              <w:t>评级方案思路一般、评级方法一般、评级流程、时间安排一般，得</w:t>
            </w:r>
            <w:r>
              <w:rPr>
                <w:rFonts w:hint="eastAsia" w:ascii="Times New Roman" w:hAnsi="Times New Roman"/>
                <w:lang w:val="en-US" w:eastAsia="zh-CN"/>
              </w:rPr>
              <w:t>5</w:t>
            </w:r>
            <w:r>
              <w:rPr>
                <w:rFonts w:hint="eastAsia"/>
                <w:lang w:val="en-US" w:eastAsia="zh-CN"/>
              </w:rPr>
              <w:t>-10</w:t>
            </w:r>
            <w:r>
              <w:rPr>
                <w:rFonts w:hint="eastAsia" w:ascii="Times New Roman" w:hAnsi="Times New Roman"/>
              </w:rPr>
              <w:t>分；</w:t>
            </w:r>
          </w:p>
          <w:p w14:paraId="55FBD0E4">
            <w:pPr>
              <w:snapToGrid w:val="0"/>
              <w:jc w:val="left"/>
              <w:rPr>
                <w:rFonts w:hint="eastAsia" w:eastAsia="宋体"/>
                <w:lang w:val="en-US" w:eastAsia="zh-CN"/>
              </w:rPr>
            </w:pPr>
            <w:r>
              <w:rPr>
                <w:rFonts w:hint="eastAsia" w:ascii="Times New Roman" w:hAnsi="Times New Roman"/>
              </w:rPr>
              <w:t>评级方案思路的清晰度差、评级方法科学性</w:t>
            </w:r>
            <w:r>
              <w:rPr>
                <w:rFonts w:hint="eastAsia"/>
                <w:lang w:eastAsia="zh-CN"/>
              </w:rPr>
              <w:t>、</w:t>
            </w:r>
            <w:r>
              <w:rPr>
                <w:rFonts w:hint="eastAsia" w:ascii="Times New Roman" w:hAnsi="Times New Roman"/>
              </w:rPr>
              <w:t>评级流程、时间安排的合理性均有瑕疵，得</w:t>
            </w:r>
            <w:r>
              <w:rPr>
                <w:rFonts w:hint="eastAsia" w:ascii="Times New Roman" w:hAnsi="Times New Roman"/>
                <w:lang w:val="en-US" w:eastAsia="zh-CN"/>
              </w:rPr>
              <w:t>0-5</w:t>
            </w:r>
            <w:r>
              <w:rPr>
                <w:rFonts w:hint="eastAsia" w:ascii="Times New Roman" w:hAnsi="Times New Roman"/>
              </w:rPr>
              <w:t>分</w:t>
            </w:r>
            <w:r>
              <w:rPr>
                <w:rFonts w:hint="eastAsia" w:ascii="Times New Roman" w:hAnsi="Times New Roman"/>
                <w:lang w:eastAsia="zh-CN"/>
              </w:rPr>
              <w:t>。</w:t>
            </w:r>
          </w:p>
        </w:tc>
      </w:tr>
      <w:tr w14:paraId="0F67C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844" w:type="pct"/>
            <w:vMerge w:val="continue"/>
            <w:noWrap w:val="0"/>
            <w:vAlign w:val="center"/>
          </w:tcPr>
          <w:p w14:paraId="70176B50">
            <w:pPr>
              <w:snapToGrid w:val="0"/>
              <w:jc w:val="center"/>
              <w:rPr>
                <w:rFonts w:hint="eastAsia" w:ascii="Times New Roman" w:hAnsi="Times New Roman" w:eastAsia="宋体" w:cs="Times New Roman"/>
                <w:kern w:val="2"/>
                <w:sz w:val="21"/>
                <w:szCs w:val="24"/>
                <w:lang w:val="en-US" w:eastAsia="zh-CN" w:bidi="ar-SA"/>
              </w:rPr>
            </w:pPr>
          </w:p>
        </w:tc>
        <w:tc>
          <w:tcPr>
            <w:tcW w:w="1072" w:type="pct"/>
            <w:noWrap w:val="0"/>
            <w:vAlign w:val="center"/>
          </w:tcPr>
          <w:p w14:paraId="531E6EDE">
            <w:pPr>
              <w:snapToGrid w:val="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合规运行情况</w:t>
            </w:r>
          </w:p>
          <w:p w14:paraId="260829B1">
            <w:pPr>
              <w:snapToGrid w:val="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（5分）</w:t>
            </w:r>
          </w:p>
        </w:tc>
        <w:tc>
          <w:tcPr>
            <w:tcW w:w="3083" w:type="pct"/>
            <w:noWrap w:val="0"/>
            <w:vAlign w:val="center"/>
          </w:tcPr>
          <w:p w14:paraId="0DBE9141">
            <w:pPr>
              <w:snapToGrid w:val="0"/>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最近一年（投标截止日往前一年）评级机构合规运行情况综合评定。投标人出承诺书，格式自拟。</w:t>
            </w:r>
          </w:p>
          <w:p w14:paraId="1C5329B8">
            <w:pPr>
              <w:snapToGrid w:val="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未受中国证监会、人民银行、银行间市场交易商协会、证券业协会等主管部门处罚的（含罚款、出具警示函、警告、责令改正及其他公开披露的情况），得5分。</w:t>
            </w:r>
          </w:p>
          <w:p w14:paraId="4C941DE4">
            <w:pPr>
              <w:snapToGrid w:val="0"/>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有以上主管部门至少一例相关处罚的，不得分。</w:t>
            </w:r>
          </w:p>
        </w:tc>
      </w:tr>
      <w:tr w14:paraId="62D6B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844" w:type="pct"/>
            <w:noWrap w:val="0"/>
            <w:vAlign w:val="center"/>
          </w:tcPr>
          <w:p w14:paraId="4A8CD049">
            <w:pPr>
              <w:snapToGrid w:val="0"/>
              <w:jc w:val="center"/>
              <w:rPr>
                <w:rFonts w:hint="eastAsia" w:ascii="Times New Roman" w:hAnsi="Times New Roman" w:eastAsia="宋体" w:cs="Times New Roman"/>
                <w:kern w:val="2"/>
                <w:sz w:val="21"/>
                <w:szCs w:val="24"/>
                <w:lang w:val="en-US" w:eastAsia="zh-CN" w:bidi="ar-SA"/>
              </w:rPr>
            </w:pPr>
            <w:r>
              <w:rPr>
                <w:rFonts w:hint="eastAsia"/>
                <w:lang w:val="en-US" w:eastAsia="zh-CN"/>
              </w:rPr>
              <w:t>价格</w:t>
            </w:r>
            <w:r>
              <w:rPr>
                <w:rFonts w:ascii="Times New Roman" w:hAnsi="Times New Roman"/>
              </w:rPr>
              <w:t>比选分标准</w:t>
            </w:r>
            <w:r>
              <w:rPr>
                <w:rFonts w:hint="eastAsia" w:ascii="Times New Roman" w:hAnsi="Times New Roman"/>
              </w:rPr>
              <w:t>（</w:t>
            </w:r>
            <w:r>
              <w:rPr>
                <w:rFonts w:hint="eastAsia"/>
                <w:lang w:val="en-US" w:eastAsia="zh-CN"/>
              </w:rPr>
              <w:t>20</w:t>
            </w:r>
            <w:r>
              <w:rPr>
                <w:rFonts w:hint="eastAsia" w:ascii="Times New Roman" w:hAnsi="Times New Roman"/>
              </w:rPr>
              <w:t>分）</w:t>
            </w:r>
          </w:p>
        </w:tc>
        <w:tc>
          <w:tcPr>
            <w:tcW w:w="1072" w:type="pct"/>
            <w:noWrap w:val="0"/>
            <w:vAlign w:val="center"/>
          </w:tcPr>
          <w:p w14:paraId="56A79932">
            <w:pPr>
              <w:snapToGrid w:val="0"/>
              <w:jc w:val="center"/>
              <w:rPr>
                <w:rFonts w:ascii="Times New Roman" w:hAnsi="Times New Roman"/>
              </w:rPr>
            </w:pPr>
            <w:r>
              <w:rPr>
                <w:rFonts w:hint="eastAsia" w:ascii="Times New Roman" w:hAnsi="Times New Roman"/>
                <w:highlight w:val="none"/>
              </w:rPr>
              <w:t>报价</w:t>
            </w:r>
            <w:r>
              <w:rPr>
                <w:rFonts w:hint="eastAsia" w:ascii="Times New Roman" w:hAnsi="Times New Roman"/>
              </w:rPr>
              <w:t>评审</w:t>
            </w:r>
          </w:p>
          <w:p w14:paraId="2492C3B5">
            <w:pPr>
              <w:snapToGrid w:val="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rPr>
              <w:t>（</w:t>
            </w:r>
            <w:r>
              <w:rPr>
                <w:rFonts w:hint="eastAsia"/>
                <w:lang w:val="en-US" w:eastAsia="zh-CN"/>
              </w:rPr>
              <w:t>20</w:t>
            </w:r>
            <w:r>
              <w:rPr>
                <w:rFonts w:hint="eastAsia" w:ascii="Times New Roman" w:hAnsi="Times New Roman"/>
              </w:rPr>
              <w:t>分）</w:t>
            </w:r>
          </w:p>
        </w:tc>
        <w:tc>
          <w:tcPr>
            <w:tcW w:w="3083" w:type="pct"/>
            <w:noWrap w:val="0"/>
            <w:vAlign w:val="center"/>
          </w:tcPr>
          <w:p w14:paraId="2322A22B">
            <w:pPr>
              <w:snapToGrid w:val="0"/>
              <w:rPr>
                <w:rFonts w:hint="eastAsia"/>
                <w:color w:val="000000"/>
                <w:lang w:val="en-US" w:eastAsia="zh-CN"/>
              </w:rPr>
            </w:pPr>
            <w:r>
              <w:rPr>
                <w:rFonts w:hint="eastAsia" w:ascii="Times New Roman" w:hAnsi="Times New Roman"/>
                <w:color w:val="000000"/>
                <w:lang w:val="en-US" w:eastAsia="zh-CN"/>
              </w:rPr>
              <w:t>按照</w:t>
            </w:r>
            <w:r>
              <w:rPr>
                <w:rFonts w:hint="eastAsia"/>
                <w:color w:val="000000"/>
                <w:lang w:val="en-US" w:eastAsia="zh-CN"/>
              </w:rPr>
              <w:t>投标人的有效报价的平均价为基数：</w:t>
            </w:r>
          </w:p>
          <w:p w14:paraId="402E926B">
            <w:pPr>
              <w:snapToGrid w:val="0"/>
              <w:rPr>
                <w:rFonts w:hint="eastAsia"/>
                <w:color w:val="000000"/>
                <w:lang w:val="en-US" w:eastAsia="zh-CN"/>
              </w:rPr>
            </w:pPr>
            <w:r>
              <w:rPr>
                <w:rFonts w:hint="eastAsia"/>
                <w:color w:val="000000"/>
                <w:lang w:val="en-US" w:eastAsia="zh-CN"/>
              </w:rPr>
              <w:t>投标人报价等于基数的，得20分；</w:t>
            </w:r>
          </w:p>
          <w:p w14:paraId="2419534B">
            <w:pPr>
              <w:snapToGrid w:val="0"/>
              <w:rPr>
                <w:rFonts w:hint="eastAsia"/>
                <w:color w:val="000000"/>
                <w:lang w:val="en-US" w:eastAsia="zh-CN"/>
              </w:rPr>
            </w:pPr>
            <w:r>
              <w:rPr>
                <w:rFonts w:hint="eastAsia"/>
                <w:color w:val="000000"/>
                <w:lang w:val="en-US" w:eastAsia="zh-CN"/>
              </w:rPr>
              <w:t>投标人报价每高于基数10%，得分减2分；</w:t>
            </w:r>
          </w:p>
          <w:p w14:paraId="12ACE7E0">
            <w:pPr>
              <w:snapToGrid w:val="0"/>
              <w:rPr>
                <w:rFonts w:hint="eastAsia" w:ascii="Times New Roman" w:hAnsi="Times New Roman" w:eastAsia="宋体" w:cs="Times New Roman"/>
                <w:kern w:val="2"/>
                <w:sz w:val="21"/>
                <w:szCs w:val="24"/>
                <w:lang w:val="en-US" w:eastAsia="zh-CN" w:bidi="ar-SA"/>
              </w:rPr>
            </w:pPr>
            <w:r>
              <w:rPr>
                <w:rFonts w:hint="eastAsia"/>
                <w:color w:val="000000"/>
                <w:lang w:val="en-US" w:eastAsia="zh-CN"/>
              </w:rPr>
              <w:t>投标人报价每低于基数10%，得分减1分。</w:t>
            </w:r>
          </w:p>
        </w:tc>
      </w:tr>
    </w:tbl>
    <w:p w14:paraId="3301A694">
      <w:bookmarkStart w:id="0" w:name="_GoBack"/>
      <w:bookmarkEnd w:id="0"/>
    </w:p>
    <w:sectPr>
      <w:pgSz w:w="11906" w:h="16838"/>
      <w:pgMar w:top="1928" w:right="1474" w:bottom="175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702B72"/>
    <w:rsid w:val="019170D9"/>
    <w:rsid w:val="02702B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2025-11-17T07:51:00Z</dcterms:created>
  <dc:creator>零度i@</dc:creator>
  <cp:lastModifiedBy>零度i@</cp:lastModifiedBy>
  <dcterms:modified xsi:type="dcterms:W3CDTF">2025-11-17T07:51:40Z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2D50E90555264307B6C5DC6BE69C66C6_11</vt:lpwstr>
  </property>
  <property fmtid="{D5CDD505-2E9C-101B-9397-08002B2CF9AE}" pid="4" name="KSOTemplateDocerSaveRecord">
    <vt:lpwstr>eyJoZGlkIjoiZDQwZDc1MzhiNzEwNTA4NTlmMTFjOGJkZDU3YjhmNDQiLCJ1c2VySWQiOiIyOTg1MTY2NTMifQ==</vt:lpwstr>
  </property>
</Properties>
</file>